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E1" w:rsidRDefault="005B5825" w:rsidP="005B58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9150" cy="3471863"/>
            <wp:effectExtent l="0" t="0" r="0" b="0"/>
            <wp:docPr id="1" name="Рисунок 1" descr="https://upload2.schoolrm.ru/resize_cache/611478/c3bed4c46e3bebf9034448fed65e7b8e/iblock/2c1/2c1bb033ddd7d0f00c5e443ae6e728a3/f1b8af373d39f9c8c541260f1e9b57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611478/c3bed4c46e3bebf9034448fed65e7b8e/iblock/2c1/2c1bb033ddd7d0f00c5e443ae6e728a3/f1b8af373d39f9c8c541260f1e9b575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865" cy="34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52" w:rsidRDefault="00086652" w:rsidP="005B5825">
      <w:pPr>
        <w:jc w:val="center"/>
      </w:pPr>
      <w:bookmarkStart w:id="0" w:name="_GoBack"/>
      <w:bookmarkEnd w:id="0"/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Критерии оценки музыкальных уголков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Требования к оформлению: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целесообразность размещения зоны;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доступность;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хранение;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соответствие возрасту детей и требованиям программы.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Разнообразие оборудования: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музыкальные инструменты;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шумовые инструменты (самодельные);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альбомы к знакомым песням;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детские рисунки к знакомым песням (старшие, подготовительные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группы);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музыкально-дидактические игры;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атрибуты к музыкальным подвижным играм (полумаски);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атрибуты к танцевальным импровизациям: осенние листочки, снежинки, султанчики, платочки, ленточки, цветы, флажки;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lastRenderedPageBreak/>
        <w:t>- ширма настольная;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музыкальные игрушки (младшие, средние группы);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игрушки – инструменты (младшие группы);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портреты композиторов (старшие, подготовительные группы);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альбомы: «Танцы народов мира», «Народные инструменты» (старшие,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подготовительные группы);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- магнитофон, диски, аудиозаписи с детским репертуаром.</w:t>
      </w:r>
    </w:p>
    <w:p w:rsidR="00086652" w:rsidRPr="00086652" w:rsidRDefault="00086652" w:rsidP="00086652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7"/>
          <w:lang w:eastAsia="ru-RU"/>
        </w:rPr>
      </w:pPr>
      <w:r w:rsidRPr="00086652">
        <w:rPr>
          <w:rFonts w:eastAsia="Times New Roman" w:cs="Times New Roman"/>
          <w:color w:val="111111"/>
          <w:szCs w:val="27"/>
          <w:lang w:eastAsia="ru-RU"/>
        </w:rPr>
        <w:t>Умение педагога презентовать музыкальный уголок.</w:t>
      </w:r>
    </w:p>
    <w:p w:rsidR="00086652" w:rsidRDefault="00086652" w:rsidP="005B5825">
      <w:pPr>
        <w:jc w:val="center"/>
      </w:pPr>
    </w:p>
    <w:sectPr w:rsidR="0008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25"/>
    <w:rsid w:val="00086652"/>
    <w:rsid w:val="002F0154"/>
    <w:rsid w:val="00574D2D"/>
    <w:rsid w:val="005816B5"/>
    <w:rsid w:val="005B5825"/>
    <w:rsid w:val="008814E1"/>
    <w:rsid w:val="00A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6AC3-9EC1-42BF-8B05-CA40B696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2D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816B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headline">
    <w:name w:val="headline"/>
    <w:basedOn w:val="Normal"/>
    <w:rsid w:val="000866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866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6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805</Characters>
  <Application>Microsoft Office Word</Application>
  <DocSecurity>0</DocSecurity>
  <Lines>6</Lines>
  <Paragraphs>1</Paragraphs>
  <ScaleCrop>false</ScaleCrop>
  <Company>Hewlett-Packard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2020-10-15T07:42:00Z</dcterms:created>
  <dcterms:modified xsi:type="dcterms:W3CDTF">2020-10-15T07:49:00Z</dcterms:modified>
</cp:coreProperties>
</file>